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A" w:rsidRPr="001A2BEE" w:rsidRDefault="001A2BEE">
      <w:pPr>
        <w:pStyle w:val="1"/>
        <w:spacing w:line="360" w:lineRule="atLeast"/>
        <w:rPr>
          <w:lang w:val="ru-RU"/>
        </w:rPr>
      </w:pPr>
      <w:r w:rsidRPr="001A2BEE">
        <w:rPr>
          <w:lang w:val="ru-RU"/>
        </w:rPr>
        <w:t>Для населения (памятка)</w:t>
      </w:r>
    </w:p>
    <w:p w:rsidR="0061288A" w:rsidRPr="001A2BEE" w:rsidRDefault="001A2BEE">
      <w:pPr>
        <w:spacing w:after="0" w:line="360" w:lineRule="atLeast"/>
        <w:rPr>
          <w:rFonts w:ascii="Arial" w:hAnsi="Arial" w:cs="Arial"/>
          <w:color w:val="4C4C4C"/>
          <w:sz w:val="22"/>
          <w:szCs w:val="22"/>
          <w:lang w:val="ru-RU"/>
        </w:rPr>
      </w:pPr>
      <w:r>
        <w:rPr>
          <w:rFonts w:ascii="Arial" w:eastAsia="SimSun" w:hAnsi="Arial" w:cs="Arial"/>
          <w:color w:val="4C4C4C"/>
          <w:sz w:val="22"/>
          <w:szCs w:val="22"/>
          <w:lang w:bidi="ar"/>
        </w:rPr>
        <w:t>   </w:t>
      </w:r>
    </w:p>
    <w:p w:rsidR="00D63333" w:rsidRDefault="00D63333" w:rsidP="00D63333">
      <w:pPr>
        <w:pStyle w:val="1"/>
        <w:rPr>
          <w:rFonts w:cs="Arial"/>
          <w:lang w:val="ru-RU"/>
        </w:rPr>
      </w:pPr>
      <w:r w:rsidRPr="00A46047">
        <w:rPr>
          <w:rFonts w:cs="Arial"/>
          <w:lang w:val="ru-RU"/>
        </w:rPr>
        <w:t>Исследования клещей</w:t>
      </w:r>
    </w:p>
    <w:p w:rsidR="00A46047" w:rsidRPr="00A46047" w:rsidRDefault="00A46047" w:rsidP="00A46047">
      <w:pPr>
        <w:rPr>
          <w:lang w:val="ru-RU"/>
        </w:rPr>
      </w:pPr>
    </w:p>
    <w:p w:rsidR="00A46047" w:rsidRDefault="00D63333" w:rsidP="00D63333">
      <w:pPr>
        <w:spacing w:after="0"/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      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В весенне-летний период значительно повышается вероятность получить укус клеща. Относиться к этому следует очень серьезно. Именно клещи являются переносчиками некоторых инфекций, опасных для жизни и здоровья человека (клещевого энцефалита, болезни Лайма (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боррелиоза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),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эрлихиоза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, анаплазмоза).</w:t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     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Как защититься от укуса клеща? Отправляясь в потенциально опасное место отдыха, где могут обитать паразиты, необходимо отдать предпочтение одежде, плотно прилегающей к телу. Гораздо проще выявить насекомое, если вещи будут светлыми. Обязательно необходимо покрывать голову платком, кепкой или другим головным убором. Желательно, чтобы нательное белье заправлялось – это уменьшит риск проникновения клеща под одежду. Можно использовать специальные аэрозоли от кровососущих насекомых, приобретенные в аптеке. Но если уберечься не удалось, и вы заметили, что впившейся клещ все-таки находится на вашем теле, необходимо как можно быстрее и аккуратнее произвести удаление клеща. Следует помнить, что ни в коем случае нельзя сдавливать кровососа, поскольку при этом происходит впрыск токсинов и возможно заражение. Лучше незамедлительно обратится в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травмпункт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, где вам окажут квалифицированную медицинскую помощь.</w:t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     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В клинической лаборатории ГАУЗ ЯО «Клиническая больница скорой медицинской помощи им. Н. В. Соловьёва» проводится исследование клещей на заражённость клещевыми инфекциями методом ПЦР в режиме реального времени, что позволяет быстро и специфично определить наличие вирусов и бактерий в клеще. Данный метод является наиболее точным и достоверным при исследовании мёртвых клещей и фрагментов их тел.</w:t>
      </w:r>
    </w:p>
    <w:p w:rsidR="0061288A" w:rsidRPr="00B85C7C" w:rsidRDefault="00D63333" w:rsidP="00D63333">
      <w:pPr>
        <w:spacing w:after="0"/>
        <w:rPr>
          <w:lang w:val="ru-RU"/>
        </w:rPr>
      </w:pP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 xml:space="preserve">График работы кабинета приёма клещей в здании </w:t>
      </w:r>
      <w:proofErr w:type="spellStart"/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травмпункта</w:t>
      </w:r>
      <w:proofErr w:type="spellEnd"/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: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Мар</w:t>
      </w:r>
      <w:proofErr w:type="gramStart"/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т-</w:t>
      </w:r>
      <w:proofErr w:type="gramEnd"/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 xml:space="preserve"> апрель, июль- октябрь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Понедельник – Пятница 8.00 - 15.00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Выходные: суббота, воскресенье</w:t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Май- июнь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Понедельник – Воскресенье 8.00 - 16.00 (включая праздничные дни)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!Возможны изменения в связи с эпидемиологической обстановкой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Телефоны:</w:t>
      </w:r>
      <w:r>
        <w:rPr>
          <w:rFonts w:ascii="Arial" w:hAnsi="Arial" w:cs="Arial"/>
          <w:b/>
          <w:bCs/>
          <w:color w:val="4C4C4C"/>
          <w:sz w:val="23"/>
          <w:szCs w:val="23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Кабинет приема клещей:75-50-30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lastRenderedPageBreak/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Лаборатория: 20-83-86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Стоимость исследования клеща составляет:</w:t>
      </w:r>
      <w:r>
        <w:rPr>
          <w:rFonts w:ascii="Arial" w:hAnsi="Arial" w:cs="Arial"/>
          <w:b/>
          <w:bCs/>
          <w:color w:val="4C4C4C"/>
          <w:sz w:val="23"/>
          <w:szCs w:val="23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- Исследование клеща на вирус клещевого энцефалита,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боррелиоза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, моноцитарного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эрлихиоза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человека,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гранулоцитарного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анаплазмоза человека (метод ПЦР) - 850 рублей;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b/>
          <w:bCs/>
          <w:color w:val="4C4C4C"/>
          <w:sz w:val="23"/>
          <w:szCs w:val="23"/>
          <w:lang w:val="ru-RU"/>
        </w:rPr>
        <w:t>Стоимость исследования крови на антитела составляет:</w:t>
      </w:r>
      <w:r>
        <w:rPr>
          <w:rFonts w:ascii="Arial" w:hAnsi="Arial" w:cs="Arial"/>
          <w:b/>
          <w:bCs/>
          <w:color w:val="4C4C4C"/>
          <w:sz w:val="23"/>
          <w:szCs w:val="23"/>
        </w:rPr>
        <w:t> </w:t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Pr="00D63333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- Антитела к вирусу клещевого энцефалита (ТВЕ) 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IgM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(срок исполнения до 10 дней) - 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450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рубл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ей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;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- Антитела к вирусу клещевого энцефалита (ТВЕ) 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IgG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(срок исполнения до 10 дней) - 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450</w:t>
      </w:r>
      <w:r w:rsidR="00CB5D40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рубл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ей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;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- Антитела к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боррелиям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IgG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(срок исполнения до 10 дней) - 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370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</w:t>
      </w:r>
      <w:r w:rsidR="00CB5D40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рубл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ей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;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 </w:t>
      </w:r>
      <w:r w:rsidR="00A46047" w:rsidRPr="00A46047">
        <w:rPr>
          <w:rFonts w:ascii="Arial" w:hAnsi="Arial" w:cs="Arial"/>
          <w:color w:val="4C4C4C"/>
          <w:sz w:val="23"/>
          <w:szCs w:val="23"/>
          <w:lang w:val="ru-RU"/>
        </w:rPr>
        <w:br/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- Антитела к </w:t>
      </w:r>
      <w:proofErr w:type="spellStart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боррелиям</w:t>
      </w:r>
      <w:proofErr w:type="spellEnd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</w:t>
      </w:r>
      <w:r w:rsidR="00A46047">
        <w:rPr>
          <w:rFonts w:ascii="Arial" w:hAnsi="Arial" w:cs="Arial"/>
          <w:color w:val="4C4C4C"/>
          <w:sz w:val="23"/>
          <w:szCs w:val="23"/>
          <w:shd w:val="clear" w:color="auto" w:fill="FFFFFF"/>
        </w:rPr>
        <w:t>IgM</w:t>
      </w:r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(срок исполнения до 10 дней) - 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370</w:t>
      </w:r>
      <w:r w:rsidR="00CB5D40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 xml:space="preserve"> рубл</w:t>
      </w:r>
      <w:r w:rsidR="00CB5D40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ей</w:t>
      </w:r>
      <w:bookmarkStart w:id="0" w:name="_GoBack"/>
      <w:bookmarkEnd w:id="0"/>
      <w:r w:rsidR="00A46047" w:rsidRPr="00A46047">
        <w:rPr>
          <w:rFonts w:ascii="Arial" w:hAnsi="Arial" w:cs="Arial"/>
          <w:color w:val="4C4C4C"/>
          <w:sz w:val="23"/>
          <w:szCs w:val="23"/>
          <w:shd w:val="clear" w:color="auto" w:fill="FFFFFF"/>
          <w:lang w:val="ru-RU"/>
        </w:rPr>
        <w:t>.</w:t>
      </w:r>
      <w:r w:rsidR="001A2BEE" w:rsidRPr="001A2BEE">
        <w:rPr>
          <w:rFonts w:ascii="Arial" w:eastAsia="SimSun" w:hAnsi="Arial" w:cs="Arial"/>
          <w:color w:val="4C4C4C"/>
          <w:sz w:val="22"/>
          <w:szCs w:val="22"/>
          <w:lang w:val="ru-RU" w:bidi="ar"/>
        </w:rPr>
        <w:br/>
      </w:r>
      <w:r w:rsidR="001A2BEE" w:rsidRPr="001A2BEE">
        <w:rPr>
          <w:rFonts w:ascii="Arial" w:eastAsia="SimSun" w:hAnsi="Arial" w:cs="Arial"/>
          <w:color w:val="4C4C4C"/>
          <w:sz w:val="22"/>
          <w:szCs w:val="22"/>
          <w:lang w:val="ru-RU" w:bidi="ar"/>
        </w:rPr>
        <w:br/>
      </w:r>
      <w:r w:rsidR="001A2BEE" w:rsidRPr="00B85C7C">
        <w:rPr>
          <w:rFonts w:ascii="Arial" w:eastAsia="SimSun" w:hAnsi="Arial" w:cs="Arial"/>
          <w:b/>
          <w:color w:val="4C4C4C"/>
          <w:sz w:val="22"/>
          <w:szCs w:val="22"/>
          <w:lang w:val="ru-RU" w:bidi="ar"/>
        </w:rPr>
        <w:t>Желаем всем крепкого здоровья</w:t>
      </w:r>
      <w:proofErr w:type="gramStart"/>
      <w:r w:rsidR="001A2BEE" w:rsidRPr="00B85C7C">
        <w:rPr>
          <w:rFonts w:ascii="Arial" w:eastAsia="SimSun" w:hAnsi="Arial" w:cs="Arial"/>
          <w:b/>
          <w:color w:val="4C4C4C"/>
          <w:sz w:val="22"/>
          <w:szCs w:val="22"/>
          <w:lang w:val="ru-RU" w:bidi="ar"/>
        </w:rPr>
        <w:t xml:space="preserve"> !</w:t>
      </w:r>
      <w:proofErr w:type="gramEnd"/>
      <w:r w:rsidR="001A2BEE" w:rsidRPr="00B85C7C">
        <w:rPr>
          <w:rFonts w:ascii="Arial" w:eastAsia="SimSun" w:hAnsi="Arial" w:cs="Arial"/>
          <w:b/>
          <w:color w:val="4C4C4C"/>
          <w:sz w:val="22"/>
          <w:szCs w:val="22"/>
          <w:lang w:val="ru-RU" w:bidi="ar"/>
        </w:rPr>
        <w:t xml:space="preserve">!! </w:t>
      </w:r>
    </w:p>
    <w:p w:rsidR="0061288A" w:rsidRPr="00B85C7C" w:rsidRDefault="0061288A">
      <w:pPr>
        <w:rPr>
          <w:lang w:val="ru-RU"/>
        </w:rPr>
      </w:pPr>
    </w:p>
    <w:sectPr w:rsidR="0061288A" w:rsidRPr="00B85C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D6971"/>
    <w:rsid w:val="001A2BEE"/>
    <w:rsid w:val="003B52DF"/>
    <w:rsid w:val="0061288A"/>
    <w:rsid w:val="00A46047"/>
    <w:rsid w:val="00B85C7C"/>
    <w:rsid w:val="00CB5D40"/>
    <w:rsid w:val="00D63333"/>
    <w:rsid w:val="00DF7BE0"/>
    <w:rsid w:val="534D6971"/>
    <w:rsid w:val="731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after="0" w:line="600" w:lineRule="atLeast"/>
      <w:outlineLvl w:val="0"/>
    </w:pPr>
    <w:rPr>
      <w:rFonts w:ascii="Arial" w:hAnsi="Arial"/>
      <w:b/>
      <w:bCs/>
      <w:color w:val="000000"/>
      <w:kern w:val="32"/>
      <w:sz w:val="39"/>
      <w:szCs w:val="39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styleId="a3">
    <w:name w:val="FollowedHyperlink"/>
    <w:basedOn w:val="a0"/>
    <w:qFormat/>
    <w:rPr>
      <w:color w:val="3249C6"/>
      <w:u w:val="none"/>
    </w:rPr>
  </w:style>
  <w:style w:type="character" w:styleId="a4">
    <w:name w:val="Hyperlink"/>
    <w:basedOn w:val="a0"/>
    <w:qFormat/>
    <w:rPr>
      <w:color w:val="3249C6"/>
      <w:u w:val="none"/>
    </w:rPr>
  </w:style>
  <w:style w:type="character" w:styleId="HTML0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1">
    <w:name w:val="HTML Code"/>
    <w:basedOn w:val="a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Definition"/>
    <w:basedOn w:val="a0"/>
    <w:rPr>
      <w:i/>
      <w:iCs/>
    </w:rPr>
  </w:style>
  <w:style w:type="character" w:styleId="a5">
    <w:name w:val="Strong"/>
    <w:basedOn w:val="a0"/>
    <w:qFormat/>
    <w:rPr>
      <w:b/>
      <w:bCs/>
      <w:color w:val="1A3DC1"/>
      <w:u w:val="none"/>
    </w:rPr>
  </w:style>
  <w:style w:type="character" w:customStyle="1" w:styleId="date-interval-hellip">
    <w:name w:val="date-interval-hellip"/>
  </w:style>
  <w:style w:type="character" w:customStyle="1" w:styleId="bx-context-toolbar-button">
    <w:name w:val="bx-context-toolbar-button"/>
    <w:qFormat/>
  </w:style>
  <w:style w:type="character" w:customStyle="1" w:styleId="bx-context-toolbar-button1">
    <w:name w:val="bx-context-toolbar-button1"/>
    <w:qFormat/>
  </w:style>
  <w:style w:type="character" w:customStyle="1" w:styleId="bx-context-toolbar-separator">
    <w:name w:val="bx-context-toolbar-separator"/>
  </w:style>
  <w:style w:type="character" w:customStyle="1" w:styleId="bx-context-toolbar-separator1">
    <w:name w:val="bx-context-toolbar-separator1"/>
  </w:style>
  <w:style w:type="character" w:customStyle="1" w:styleId="bx-context-toolbar-button-underlay">
    <w:name w:val="bx-context-toolbar-button-underlay"/>
  </w:style>
  <w:style w:type="character" w:customStyle="1" w:styleId="bx-context-toolbar-button-underlay1">
    <w:name w:val="bx-context-toolbar-button-underlay1"/>
    <w:qFormat/>
  </w:style>
  <w:style w:type="character" w:customStyle="1" w:styleId="bx-context-toolbar-button-wrapper">
    <w:name w:val="bx-context-toolbar-button-wrapper"/>
  </w:style>
  <w:style w:type="character" w:customStyle="1" w:styleId="bx-context-toolbar-button-wrapper1">
    <w:name w:val="bx-context-toolbar-button-wrapper1"/>
    <w:qFormat/>
  </w:style>
  <w:style w:type="character" w:customStyle="1" w:styleId="bx-context-toolbar-inner">
    <w:name w:val="bx-context-toolbar-inner"/>
    <w:qFormat/>
  </w:style>
  <w:style w:type="character" w:customStyle="1" w:styleId="bx-context-toolbar-inner1">
    <w:name w:val="bx-context-toolbar-inner1"/>
  </w:style>
  <w:style w:type="character" w:customStyle="1" w:styleId="bx-context-toolbar-icons">
    <w:name w:val="bx-context-toolbar-icons"/>
    <w:qFormat/>
  </w:style>
  <w:style w:type="character" w:customStyle="1" w:styleId="bx-context-toolbar-icons1">
    <w:name w:val="bx-context-toolbar-icons1"/>
    <w:qFormat/>
    <w:rPr>
      <w:color w:val="1A3DC1"/>
    </w:rPr>
  </w:style>
  <w:style w:type="character" w:customStyle="1" w:styleId="bx-context-toolbar-separator-switcher">
    <w:name w:val="bx-context-toolbar-separator-switcher"/>
    <w:qFormat/>
  </w:style>
  <w:style w:type="character" w:customStyle="1" w:styleId="bx-context-toolbar-vertical-line">
    <w:name w:val="bx-context-toolbar-vertical-line"/>
    <w:qFormat/>
  </w:style>
  <w:style w:type="character" w:customStyle="1" w:styleId="bx-context-toolbar-vertical-line1">
    <w:name w:val="bx-context-toolbar-vertical-line1"/>
    <w:qFormat/>
    <w:rPr>
      <w:vanish/>
    </w:rPr>
  </w:style>
  <w:style w:type="character" w:customStyle="1" w:styleId="bx-context-toolbar-single-button-arrow">
    <w:name w:val="bx-context-toolbar-single-button-arrow"/>
    <w:qFormat/>
  </w:style>
  <w:style w:type="character" w:customStyle="1" w:styleId="bx-context-toolbar-single-button-arrow1">
    <w:name w:val="bx-context-toolbar-single-button-arrow1"/>
    <w:qFormat/>
  </w:style>
  <w:style w:type="character" w:customStyle="1" w:styleId="bx-context-toolbar-single-button-arrow2">
    <w:name w:val="bx-context-toolbar-single-button-arrow2"/>
    <w:qFormat/>
  </w:style>
  <w:style w:type="character" w:customStyle="1" w:styleId="bx-context-toolbar-single-button-arrow3">
    <w:name w:val="bx-context-toolbar-single-button-arrow3"/>
    <w:qFormat/>
  </w:style>
  <w:style w:type="character" w:customStyle="1" w:styleId="bx-panel-small-single-button-arrow">
    <w:name w:val="bx-panel-small-single-button-arrow"/>
    <w:qFormat/>
  </w:style>
  <w:style w:type="character" w:customStyle="1" w:styleId="bx-panel-small-single-button-arrow1">
    <w:name w:val="bx-panel-small-single-button-arrow1"/>
    <w:qFormat/>
  </w:style>
  <w:style w:type="character" w:customStyle="1" w:styleId="bx-panel-small-single-button-arrow2">
    <w:name w:val="bx-panel-small-single-button-arrow2"/>
    <w:qFormat/>
  </w:style>
  <w:style w:type="character" w:customStyle="1" w:styleId="bx-panel-small-single-button-arrow3">
    <w:name w:val="bx-panel-small-single-button-arrow3"/>
    <w:qFormat/>
  </w:style>
  <w:style w:type="character" w:customStyle="1" w:styleId="bxst-green">
    <w:name w:val="bxst-green"/>
    <w:qFormat/>
  </w:style>
  <w:style w:type="character" w:customStyle="1" w:styleId="bxst-red">
    <w:name w:val="bxst-red"/>
  </w:style>
  <w:style w:type="character" w:customStyle="1" w:styleId="adm-btn">
    <w:name w:val="adm-btn"/>
    <w:qFormat/>
    <w:rPr>
      <w:color w:val="FFFFFF"/>
      <w:bdr w:val="single" w:sz="6" w:space="0" w:color="7EA502"/>
    </w:rPr>
  </w:style>
  <w:style w:type="character" w:customStyle="1" w:styleId="bx-context-toolbar-button-inner">
    <w:name w:val="bx-context-toolbar-button-inner"/>
  </w:style>
  <w:style w:type="character" w:customStyle="1" w:styleId="bx-context-toolbar-button-inner1">
    <w:name w:val="bx-context-toolbar-button-inner1"/>
    <w:qFormat/>
  </w:style>
  <w:style w:type="character" w:customStyle="1" w:styleId="bx-context-toolbar-button-inner2">
    <w:name w:val="bx-context-toolbar-button-inner2"/>
    <w:qFormat/>
  </w:style>
  <w:style w:type="character" w:customStyle="1" w:styleId="bx-context-toolbar-button-inner3">
    <w:name w:val="bx-context-toolbar-button-inner3"/>
  </w:style>
  <w:style w:type="character" w:customStyle="1" w:styleId="bx-context-toolbar-button-inner4">
    <w:name w:val="bx-context-toolbar-button-inner4"/>
  </w:style>
  <w:style w:type="character" w:customStyle="1" w:styleId="bx-context-toolbar-button-inner5">
    <w:name w:val="bx-context-toolbar-button-inner5"/>
  </w:style>
  <w:style w:type="character" w:customStyle="1" w:styleId="bx-context-toolbar-button-arrow">
    <w:name w:val="bx-context-toolbar-button-arrow"/>
    <w:qFormat/>
  </w:style>
  <w:style w:type="character" w:customStyle="1" w:styleId="bx-context-toolbar-button-arrow1">
    <w:name w:val="bx-context-toolbar-button-arrow1"/>
  </w:style>
  <w:style w:type="character" w:customStyle="1" w:styleId="bx-context-toolbar-button-arrow2">
    <w:name w:val="bx-context-toolbar-button-arrow2"/>
    <w:qFormat/>
  </w:style>
  <w:style w:type="character" w:customStyle="1" w:styleId="bx-context-toolbar-button-arrow3">
    <w:name w:val="bx-context-toolbar-button-arrow3"/>
    <w:qFormat/>
  </w:style>
  <w:style w:type="character" w:customStyle="1" w:styleId="bxst-blue">
    <w:name w:val="bxst-blue"/>
    <w:qFormat/>
  </w:style>
  <w:style w:type="character" w:customStyle="1" w:styleId="bx-context-toolbar-button-text">
    <w:name w:val="bx-context-toolbar-button-text"/>
  </w:style>
  <w:style w:type="character" w:customStyle="1" w:styleId="bx-context-toolbar-button-text1">
    <w:name w:val="bx-context-toolbar-button-text1"/>
    <w:qFormat/>
  </w:style>
  <w:style w:type="character" w:customStyle="1" w:styleId="bx-context-toolbar-button-text2">
    <w:name w:val="bx-context-toolbar-button-text2"/>
    <w:qFormat/>
  </w:style>
  <w:style w:type="character" w:customStyle="1" w:styleId="bx-context-toolbar-button-text3">
    <w:name w:val="bx-context-toolbar-button-text3"/>
    <w:qFormat/>
    <w:rPr>
      <w:rFonts w:ascii="Helvetica" w:eastAsia="Helvetica" w:hAnsi="Helvetica" w:cs="Helvetica" w:hint="default"/>
      <w:sz w:val="16"/>
      <w:szCs w:val="16"/>
    </w:rPr>
  </w:style>
  <w:style w:type="character" w:customStyle="1" w:styleId="bx-icon-underline">
    <w:name w:val="bx-icon-underline"/>
    <w:rPr>
      <w:u w:val="single"/>
    </w:rPr>
  </w:style>
  <w:style w:type="character" w:customStyle="1" w:styleId="bx-icon-underline1">
    <w:name w:val="bx-icon-underline1"/>
    <w:qFormat/>
    <w:rPr>
      <w:u w:val="single"/>
    </w:rPr>
  </w:style>
  <w:style w:type="character" w:customStyle="1" w:styleId="bx-panel-small-button-arrow">
    <w:name w:val="bx-panel-small-button-arrow"/>
    <w:qFormat/>
  </w:style>
  <w:style w:type="character" w:customStyle="1" w:styleId="bx-panel-small-button-arrow1">
    <w:name w:val="bx-panel-small-button-arrow1"/>
    <w:qFormat/>
  </w:style>
  <w:style w:type="character" w:customStyle="1" w:styleId="bx-panel-small-button-arrow2">
    <w:name w:val="bx-panel-small-button-arrow2"/>
    <w:qFormat/>
  </w:style>
  <w:style w:type="character" w:customStyle="1" w:styleId="bx-panel-small-button-arrow3">
    <w:name w:val="bx-panel-small-button-arrow3"/>
    <w:qFormat/>
  </w:style>
  <w:style w:type="character" w:customStyle="1" w:styleId="bx-panel-button-text2">
    <w:name w:val="bx-panel-button-text2"/>
    <w:qFormat/>
  </w:style>
  <w:style w:type="character" w:customStyle="1" w:styleId="bx-panel-button-text3">
    <w:name w:val="bx-panel-button-text3"/>
    <w:qFormat/>
  </w:style>
  <w:style w:type="character" w:customStyle="1" w:styleId="bx-panel-button-text4">
    <w:name w:val="bx-panel-button-text4"/>
  </w:style>
  <w:style w:type="character" w:customStyle="1" w:styleId="bx-panel-button-text5">
    <w:name w:val="bx-panel-button-text5"/>
    <w:rPr>
      <w:rFonts w:ascii="Helvetica" w:eastAsia="Helvetica" w:hAnsi="Helvetica" w:cs="Helvetica" w:hint="default"/>
      <w:sz w:val="16"/>
      <w:szCs w:val="16"/>
    </w:rPr>
  </w:style>
  <w:style w:type="character" w:customStyle="1" w:styleId="bxst-col-pic">
    <w:name w:val="bxst-col-pic"/>
  </w:style>
  <w:style w:type="character" w:customStyle="1" w:styleId="bxst-yellow">
    <w:name w:val="bxst-yellow"/>
    <w:qFormat/>
  </w:style>
  <w:style w:type="character" w:customStyle="1" w:styleId="bxst-gray">
    <w:name w:val="bxst-gray"/>
    <w:qFormat/>
  </w:style>
  <w:style w:type="character" w:customStyle="1" w:styleId="bxst-purple">
    <w:name w:val="bxst-purple"/>
  </w:style>
  <w:style w:type="character" w:customStyle="1" w:styleId="adm-inp-active2">
    <w:name w:val="adm-inp-active2"/>
    <w:qFormat/>
  </w:style>
  <w:style w:type="character" w:customStyle="1" w:styleId="adm-inp-active3">
    <w:name w:val="adm-inp-active3"/>
  </w:style>
  <w:style w:type="character" w:customStyle="1" w:styleId="adm-btn-disabled3">
    <w:name w:val="adm-btn-disabled3"/>
  </w:style>
  <w:style w:type="character" w:customStyle="1" w:styleId="adm-btn-disabled4">
    <w:name w:val="adm-btn-disabled4"/>
  </w:style>
  <w:style w:type="character" w:customStyle="1" w:styleId="adm-btn-disabled5">
    <w:name w:val="adm-btn-disabled5"/>
  </w:style>
  <w:style w:type="character" w:customStyle="1" w:styleId="bx-context-toolbar-drag-icon">
    <w:name w:val="bx-context-toolbar-drag-icon"/>
    <w:qFormat/>
  </w:style>
  <w:style w:type="character" w:customStyle="1" w:styleId="bx-context-toolbar-button-settings">
    <w:name w:val="bx-context-toolbar-button-settings"/>
  </w:style>
  <w:style w:type="character" w:customStyle="1" w:styleId="bx-context-toolbar-switcher-separator">
    <w:name w:val="bx-context-toolbar-switcher-separator"/>
    <w:qFormat/>
  </w:style>
  <w:style w:type="character" w:customStyle="1" w:styleId="bx-context-button-icon">
    <w:name w:val="bx-context-button-icon"/>
    <w:qFormat/>
  </w:style>
  <w:style w:type="character" w:customStyle="1" w:styleId="adm-btn-green7">
    <w:name w:val="adm-btn-green7"/>
  </w:style>
  <w:style w:type="character" w:customStyle="1" w:styleId="adm-btn-save5">
    <w:name w:val="adm-btn-save5"/>
  </w:style>
  <w:style w:type="character" w:customStyle="1" w:styleId="bx-context-button-text">
    <w:name w:val="bx-context-button-tex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after="0" w:line="600" w:lineRule="atLeast"/>
      <w:outlineLvl w:val="0"/>
    </w:pPr>
    <w:rPr>
      <w:rFonts w:ascii="Arial" w:hAnsi="Arial"/>
      <w:b/>
      <w:bCs/>
      <w:color w:val="000000"/>
      <w:kern w:val="32"/>
      <w:sz w:val="39"/>
      <w:szCs w:val="39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styleId="a3">
    <w:name w:val="FollowedHyperlink"/>
    <w:basedOn w:val="a0"/>
    <w:qFormat/>
    <w:rPr>
      <w:color w:val="3249C6"/>
      <w:u w:val="none"/>
    </w:rPr>
  </w:style>
  <w:style w:type="character" w:styleId="a4">
    <w:name w:val="Hyperlink"/>
    <w:basedOn w:val="a0"/>
    <w:qFormat/>
    <w:rPr>
      <w:color w:val="3249C6"/>
      <w:u w:val="none"/>
    </w:rPr>
  </w:style>
  <w:style w:type="character" w:styleId="HTML0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1">
    <w:name w:val="HTML Code"/>
    <w:basedOn w:val="a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Definition"/>
    <w:basedOn w:val="a0"/>
    <w:rPr>
      <w:i/>
      <w:iCs/>
    </w:rPr>
  </w:style>
  <w:style w:type="character" w:styleId="a5">
    <w:name w:val="Strong"/>
    <w:basedOn w:val="a0"/>
    <w:qFormat/>
    <w:rPr>
      <w:b/>
      <w:bCs/>
      <w:color w:val="1A3DC1"/>
      <w:u w:val="none"/>
    </w:rPr>
  </w:style>
  <w:style w:type="character" w:customStyle="1" w:styleId="date-interval-hellip">
    <w:name w:val="date-interval-hellip"/>
  </w:style>
  <w:style w:type="character" w:customStyle="1" w:styleId="bx-context-toolbar-button">
    <w:name w:val="bx-context-toolbar-button"/>
    <w:qFormat/>
  </w:style>
  <w:style w:type="character" w:customStyle="1" w:styleId="bx-context-toolbar-button1">
    <w:name w:val="bx-context-toolbar-button1"/>
    <w:qFormat/>
  </w:style>
  <w:style w:type="character" w:customStyle="1" w:styleId="bx-context-toolbar-separator">
    <w:name w:val="bx-context-toolbar-separator"/>
  </w:style>
  <w:style w:type="character" w:customStyle="1" w:styleId="bx-context-toolbar-separator1">
    <w:name w:val="bx-context-toolbar-separator1"/>
  </w:style>
  <w:style w:type="character" w:customStyle="1" w:styleId="bx-context-toolbar-button-underlay">
    <w:name w:val="bx-context-toolbar-button-underlay"/>
  </w:style>
  <w:style w:type="character" w:customStyle="1" w:styleId="bx-context-toolbar-button-underlay1">
    <w:name w:val="bx-context-toolbar-button-underlay1"/>
    <w:qFormat/>
  </w:style>
  <w:style w:type="character" w:customStyle="1" w:styleId="bx-context-toolbar-button-wrapper">
    <w:name w:val="bx-context-toolbar-button-wrapper"/>
  </w:style>
  <w:style w:type="character" w:customStyle="1" w:styleId="bx-context-toolbar-button-wrapper1">
    <w:name w:val="bx-context-toolbar-button-wrapper1"/>
    <w:qFormat/>
  </w:style>
  <w:style w:type="character" w:customStyle="1" w:styleId="bx-context-toolbar-inner">
    <w:name w:val="bx-context-toolbar-inner"/>
    <w:qFormat/>
  </w:style>
  <w:style w:type="character" w:customStyle="1" w:styleId="bx-context-toolbar-inner1">
    <w:name w:val="bx-context-toolbar-inner1"/>
  </w:style>
  <w:style w:type="character" w:customStyle="1" w:styleId="bx-context-toolbar-icons">
    <w:name w:val="bx-context-toolbar-icons"/>
    <w:qFormat/>
  </w:style>
  <w:style w:type="character" w:customStyle="1" w:styleId="bx-context-toolbar-icons1">
    <w:name w:val="bx-context-toolbar-icons1"/>
    <w:qFormat/>
    <w:rPr>
      <w:color w:val="1A3DC1"/>
    </w:rPr>
  </w:style>
  <w:style w:type="character" w:customStyle="1" w:styleId="bx-context-toolbar-separator-switcher">
    <w:name w:val="bx-context-toolbar-separator-switcher"/>
    <w:qFormat/>
  </w:style>
  <w:style w:type="character" w:customStyle="1" w:styleId="bx-context-toolbar-vertical-line">
    <w:name w:val="bx-context-toolbar-vertical-line"/>
    <w:qFormat/>
  </w:style>
  <w:style w:type="character" w:customStyle="1" w:styleId="bx-context-toolbar-vertical-line1">
    <w:name w:val="bx-context-toolbar-vertical-line1"/>
    <w:qFormat/>
    <w:rPr>
      <w:vanish/>
    </w:rPr>
  </w:style>
  <w:style w:type="character" w:customStyle="1" w:styleId="bx-context-toolbar-single-button-arrow">
    <w:name w:val="bx-context-toolbar-single-button-arrow"/>
    <w:qFormat/>
  </w:style>
  <w:style w:type="character" w:customStyle="1" w:styleId="bx-context-toolbar-single-button-arrow1">
    <w:name w:val="bx-context-toolbar-single-button-arrow1"/>
    <w:qFormat/>
  </w:style>
  <w:style w:type="character" w:customStyle="1" w:styleId="bx-context-toolbar-single-button-arrow2">
    <w:name w:val="bx-context-toolbar-single-button-arrow2"/>
    <w:qFormat/>
  </w:style>
  <w:style w:type="character" w:customStyle="1" w:styleId="bx-context-toolbar-single-button-arrow3">
    <w:name w:val="bx-context-toolbar-single-button-arrow3"/>
    <w:qFormat/>
  </w:style>
  <w:style w:type="character" w:customStyle="1" w:styleId="bx-panel-small-single-button-arrow">
    <w:name w:val="bx-panel-small-single-button-arrow"/>
    <w:qFormat/>
  </w:style>
  <w:style w:type="character" w:customStyle="1" w:styleId="bx-panel-small-single-button-arrow1">
    <w:name w:val="bx-panel-small-single-button-arrow1"/>
    <w:qFormat/>
  </w:style>
  <w:style w:type="character" w:customStyle="1" w:styleId="bx-panel-small-single-button-arrow2">
    <w:name w:val="bx-panel-small-single-button-arrow2"/>
    <w:qFormat/>
  </w:style>
  <w:style w:type="character" w:customStyle="1" w:styleId="bx-panel-small-single-button-arrow3">
    <w:name w:val="bx-panel-small-single-button-arrow3"/>
    <w:qFormat/>
  </w:style>
  <w:style w:type="character" w:customStyle="1" w:styleId="bxst-green">
    <w:name w:val="bxst-green"/>
    <w:qFormat/>
  </w:style>
  <w:style w:type="character" w:customStyle="1" w:styleId="bxst-red">
    <w:name w:val="bxst-red"/>
  </w:style>
  <w:style w:type="character" w:customStyle="1" w:styleId="adm-btn">
    <w:name w:val="adm-btn"/>
    <w:qFormat/>
    <w:rPr>
      <w:color w:val="FFFFFF"/>
      <w:bdr w:val="single" w:sz="6" w:space="0" w:color="7EA502"/>
    </w:rPr>
  </w:style>
  <w:style w:type="character" w:customStyle="1" w:styleId="bx-context-toolbar-button-inner">
    <w:name w:val="bx-context-toolbar-button-inner"/>
  </w:style>
  <w:style w:type="character" w:customStyle="1" w:styleId="bx-context-toolbar-button-inner1">
    <w:name w:val="bx-context-toolbar-button-inner1"/>
    <w:qFormat/>
  </w:style>
  <w:style w:type="character" w:customStyle="1" w:styleId="bx-context-toolbar-button-inner2">
    <w:name w:val="bx-context-toolbar-button-inner2"/>
    <w:qFormat/>
  </w:style>
  <w:style w:type="character" w:customStyle="1" w:styleId="bx-context-toolbar-button-inner3">
    <w:name w:val="bx-context-toolbar-button-inner3"/>
  </w:style>
  <w:style w:type="character" w:customStyle="1" w:styleId="bx-context-toolbar-button-inner4">
    <w:name w:val="bx-context-toolbar-button-inner4"/>
  </w:style>
  <w:style w:type="character" w:customStyle="1" w:styleId="bx-context-toolbar-button-inner5">
    <w:name w:val="bx-context-toolbar-button-inner5"/>
  </w:style>
  <w:style w:type="character" w:customStyle="1" w:styleId="bx-context-toolbar-button-arrow">
    <w:name w:val="bx-context-toolbar-button-arrow"/>
    <w:qFormat/>
  </w:style>
  <w:style w:type="character" w:customStyle="1" w:styleId="bx-context-toolbar-button-arrow1">
    <w:name w:val="bx-context-toolbar-button-arrow1"/>
  </w:style>
  <w:style w:type="character" w:customStyle="1" w:styleId="bx-context-toolbar-button-arrow2">
    <w:name w:val="bx-context-toolbar-button-arrow2"/>
    <w:qFormat/>
  </w:style>
  <w:style w:type="character" w:customStyle="1" w:styleId="bx-context-toolbar-button-arrow3">
    <w:name w:val="bx-context-toolbar-button-arrow3"/>
    <w:qFormat/>
  </w:style>
  <w:style w:type="character" w:customStyle="1" w:styleId="bxst-blue">
    <w:name w:val="bxst-blue"/>
    <w:qFormat/>
  </w:style>
  <w:style w:type="character" w:customStyle="1" w:styleId="bx-context-toolbar-button-text">
    <w:name w:val="bx-context-toolbar-button-text"/>
  </w:style>
  <w:style w:type="character" w:customStyle="1" w:styleId="bx-context-toolbar-button-text1">
    <w:name w:val="bx-context-toolbar-button-text1"/>
    <w:qFormat/>
  </w:style>
  <w:style w:type="character" w:customStyle="1" w:styleId="bx-context-toolbar-button-text2">
    <w:name w:val="bx-context-toolbar-button-text2"/>
    <w:qFormat/>
  </w:style>
  <w:style w:type="character" w:customStyle="1" w:styleId="bx-context-toolbar-button-text3">
    <w:name w:val="bx-context-toolbar-button-text3"/>
    <w:qFormat/>
    <w:rPr>
      <w:rFonts w:ascii="Helvetica" w:eastAsia="Helvetica" w:hAnsi="Helvetica" w:cs="Helvetica" w:hint="default"/>
      <w:sz w:val="16"/>
      <w:szCs w:val="16"/>
    </w:rPr>
  </w:style>
  <w:style w:type="character" w:customStyle="1" w:styleId="bx-icon-underline">
    <w:name w:val="bx-icon-underline"/>
    <w:rPr>
      <w:u w:val="single"/>
    </w:rPr>
  </w:style>
  <w:style w:type="character" w:customStyle="1" w:styleId="bx-icon-underline1">
    <w:name w:val="bx-icon-underline1"/>
    <w:qFormat/>
    <w:rPr>
      <w:u w:val="single"/>
    </w:rPr>
  </w:style>
  <w:style w:type="character" w:customStyle="1" w:styleId="bx-panel-small-button-arrow">
    <w:name w:val="bx-panel-small-button-arrow"/>
    <w:qFormat/>
  </w:style>
  <w:style w:type="character" w:customStyle="1" w:styleId="bx-panel-small-button-arrow1">
    <w:name w:val="bx-panel-small-button-arrow1"/>
    <w:qFormat/>
  </w:style>
  <w:style w:type="character" w:customStyle="1" w:styleId="bx-panel-small-button-arrow2">
    <w:name w:val="bx-panel-small-button-arrow2"/>
    <w:qFormat/>
  </w:style>
  <w:style w:type="character" w:customStyle="1" w:styleId="bx-panel-small-button-arrow3">
    <w:name w:val="bx-panel-small-button-arrow3"/>
    <w:qFormat/>
  </w:style>
  <w:style w:type="character" w:customStyle="1" w:styleId="bx-panel-button-text2">
    <w:name w:val="bx-panel-button-text2"/>
    <w:qFormat/>
  </w:style>
  <w:style w:type="character" w:customStyle="1" w:styleId="bx-panel-button-text3">
    <w:name w:val="bx-panel-button-text3"/>
    <w:qFormat/>
  </w:style>
  <w:style w:type="character" w:customStyle="1" w:styleId="bx-panel-button-text4">
    <w:name w:val="bx-panel-button-text4"/>
  </w:style>
  <w:style w:type="character" w:customStyle="1" w:styleId="bx-panel-button-text5">
    <w:name w:val="bx-panel-button-text5"/>
    <w:rPr>
      <w:rFonts w:ascii="Helvetica" w:eastAsia="Helvetica" w:hAnsi="Helvetica" w:cs="Helvetica" w:hint="default"/>
      <w:sz w:val="16"/>
      <w:szCs w:val="16"/>
    </w:rPr>
  </w:style>
  <w:style w:type="character" w:customStyle="1" w:styleId="bxst-col-pic">
    <w:name w:val="bxst-col-pic"/>
  </w:style>
  <w:style w:type="character" w:customStyle="1" w:styleId="bxst-yellow">
    <w:name w:val="bxst-yellow"/>
    <w:qFormat/>
  </w:style>
  <w:style w:type="character" w:customStyle="1" w:styleId="bxst-gray">
    <w:name w:val="bxst-gray"/>
    <w:qFormat/>
  </w:style>
  <w:style w:type="character" w:customStyle="1" w:styleId="bxst-purple">
    <w:name w:val="bxst-purple"/>
  </w:style>
  <w:style w:type="character" w:customStyle="1" w:styleId="adm-inp-active2">
    <w:name w:val="adm-inp-active2"/>
    <w:qFormat/>
  </w:style>
  <w:style w:type="character" w:customStyle="1" w:styleId="adm-inp-active3">
    <w:name w:val="adm-inp-active3"/>
  </w:style>
  <w:style w:type="character" w:customStyle="1" w:styleId="adm-btn-disabled3">
    <w:name w:val="adm-btn-disabled3"/>
  </w:style>
  <w:style w:type="character" w:customStyle="1" w:styleId="adm-btn-disabled4">
    <w:name w:val="adm-btn-disabled4"/>
  </w:style>
  <w:style w:type="character" w:customStyle="1" w:styleId="adm-btn-disabled5">
    <w:name w:val="adm-btn-disabled5"/>
  </w:style>
  <w:style w:type="character" w:customStyle="1" w:styleId="bx-context-toolbar-drag-icon">
    <w:name w:val="bx-context-toolbar-drag-icon"/>
    <w:qFormat/>
  </w:style>
  <w:style w:type="character" w:customStyle="1" w:styleId="bx-context-toolbar-button-settings">
    <w:name w:val="bx-context-toolbar-button-settings"/>
  </w:style>
  <w:style w:type="character" w:customStyle="1" w:styleId="bx-context-toolbar-switcher-separator">
    <w:name w:val="bx-context-toolbar-switcher-separator"/>
    <w:qFormat/>
  </w:style>
  <w:style w:type="character" w:customStyle="1" w:styleId="bx-context-button-icon">
    <w:name w:val="bx-context-button-icon"/>
    <w:qFormat/>
  </w:style>
  <w:style w:type="character" w:customStyle="1" w:styleId="adm-btn-green7">
    <w:name w:val="adm-btn-green7"/>
  </w:style>
  <w:style w:type="character" w:customStyle="1" w:styleId="adm-btn-save5">
    <w:name w:val="adm-btn-save5"/>
  </w:style>
  <w:style w:type="character" w:customStyle="1" w:styleId="bx-context-button-text">
    <w:name w:val="bx-context-button-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DonskoyES</dc:creator>
  <cp:lastModifiedBy>Донской Евгений Сергеевич</cp:lastModifiedBy>
  <cp:revision>8</cp:revision>
  <dcterms:created xsi:type="dcterms:W3CDTF">2020-05-06T13:49:00Z</dcterms:created>
  <dcterms:modified xsi:type="dcterms:W3CDTF">2024-03-27T13:07:00Z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